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  <w:t xml:space="preserve">CAMPANHA SALARIAL 2019 - PAUTA DE REIVINDICAÇÕES 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Reposições salariais nos percentuais: 3,34% (setembro/2016 a fevereiro/2018) e 4,13% (março/2018 a fevereiro/2019), conforme IPC-FIPE/SP); </w:t>
      </w:r>
    </w:p>
    <w:p>
      <w:pPr>
        <w:pStyle w:val="Normal"/>
        <w:spacing w:before="0" w:after="0"/>
        <w:ind w:left="144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Destravamento das promoções e progressões 2015 a 2019, com a retirada do limite de 1% da folha e de 10% de cada cargo (na evolução horizontal) para sua efetivação;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Solução imediata para a situação dos cargos em extinção na vacância e isolados;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Imediata correção salarial do EPDC-I em 16,67%;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Realinhamento salarial geral da Fundação Procon;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Reajuste do vale-refeição para R$ 36,00 e 26 unidades mensais para todos os servidores, considerando o valor médio da refeição na região;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120"/>
        <w:ind w:left="1814" w:right="0" w:hanging="34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Atualização do valor do vale-alimentação equiparando-o ao valor da cesta básica apurada mensalmente pela Fundação Procon SP (R$ 726,81 em fevereiro/2019);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120"/>
        <w:ind w:left="1814" w:right="0" w:hanging="34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Plano odontológico, com abrangência mínima no Estado de São Paulo e cobertura de todos os procedimentos odontológicos, custeado integralmente pela Fundação;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120"/>
        <w:ind w:left="1814" w:right="0" w:hanging="34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Seguro de vida em grupo, com cobertura para morte e incapacidade total no exercício do trabalho, morte e incapacidade fora do exercício laboral, com indenização em dobro no primeiro caso;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/>
        <w:ind w:left="1800" w:right="75" w:hanging="36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 </w:t>
      </w:r>
      <w:r>
        <w:rPr>
          <w:rFonts w:eastAsia="Times New Roman" w:cs="Arial" w:ascii="Arial" w:hAnsi="Arial"/>
          <w:sz w:val="24"/>
          <w:szCs w:val="24"/>
        </w:rPr>
        <w:t xml:space="preserve">Auxílio funeral, nos termos do </w:t>
      </w:r>
      <w:r>
        <w:rPr>
          <w:rFonts w:eastAsia="Times New Roman" w:cs="Arial" w:ascii="Arial" w:hAnsi="Arial"/>
          <w:sz w:val="24"/>
          <w:szCs w:val="24"/>
          <w:lang w:eastAsia="pt-BR"/>
        </w:rPr>
        <w:t>Artigo 168 da Lei nº. 10.261, de 28 de outubro de 1968, com redação dada pelo artigo 6º da Lei Complementar nº. 1.012, de 5 de julho de 2007 e Lei Complementar nº1.123, de 1º de julho de 2010 e Artigo 51 da Lei Complementar nº. 207, de 5 de janeiro de 1979, com redação dada pelo artigo 7º da Lei Complementar nº. 1.012, de 5 de julho de 2007 e Lei Complementar nº1.123, de 1º de julho de 2010;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120"/>
        <w:ind w:left="1814" w:right="0" w:hanging="34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Auxilio educação, consistente na oferta de bolsa de estudo integral para os servidores em cursos de extensão e pós-graduação vinculados às atividades da Fundação, a ser definidos posteriormente por comissão a ser criada para esse fim;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120"/>
        <w:ind w:left="1814" w:right="0" w:hanging="34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Complementação de auxilio doença e auxilio doença acidentário, que se caracteriza, pelo pagamento da diferença entre a remuneração fixa do servidor e o auxilio pago pelo INSS, no limite de 365 dias para o auxilio doença e sem limite para o auxilio doença acidentário;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120"/>
        <w:ind w:left="1814" w:right="0" w:hanging="34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Indenização em caso de morte ou invalidez decorrente de acidente de trabalho ou doença ocupacional, no valor correspondente a 30 salários-base;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120"/>
        <w:ind w:left="1928" w:right="0" w:hanging="34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Quinquênio e sexta-parte, de conformidade com o Art. 129 da Constituição do Estado de São Paulo e GDAP, conforme Lei Complementar Estadual 1.080/2008;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Previsão de dotação orçamentária para os pleitos remanescentes desta pauta não atendidos;</w:t>
      </w:r>
    </w:p>
    <w:p>
      <w:pPr>
        <w:pStyle w:val="ListParagrap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Criação de critérios para ocupação de cargos de gestão e desenvolvimento de um plano de sucessão;</w:t>
      </w:r>
    </w:p>
    <w:p>
      <w:pPr>
        <w:pStyle w:val="ListParagrap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Realização de processo de seleção interna para ocupação dos cargos vagos para evolução vertical;</w:t>
      </w:r>
    </w:p>
    <w:p>
      <w:pPr>
        <w:pStyle w:val="ListParagrap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ListParagraph"/>
        <w:spacing w:lineRule="auto" w:line="240" w:before="0" w:after="120"/>
        <w:ind w:left="1800" w:hanging="0"/>
        <w:jc w:val="both"/>
        <w:rPr>
          <w:rFonts w:ascii="Arial" w:hAnsi="Arial" w:eastAsia="Times New Roman" w:cs="Arial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eastAsia="Times New Roman" w:cs="Arial" w:ascii="Arial" w:hAnsi="Arial"/>
          <w:sz w:val="24"/>
          <w:szCs w:val="24"/>
        </w:rPr>
      </w:r>
    </w:p>
    <w:p>
      <w:pPr>
        <w:pStyle w:val="ListParagrap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ListParagraph"/>
        <w:spacing w:lineRule="auto" w:line="240" w:before="0" w:after="120"/>
        <w:ind w:left="180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São Paulo, 01 de abril de 2019.</w:t>
      </w:r>
    </w:p>
    <w:p>
      <w:pPr>
        <w:pStyle w:val="ListParagrap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ListParagraph"/>
        <w:spacing w:lineRule="auto" w:line="240" w:before="0" w:after="120"/>
        <w:ind w:left="180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ListParagraph"/>
        <w:spacing w:lineRule="auto" w:line="240" w:before="0" w:after="120"/>
        <w:ind w:left="144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9" w:top="766" w:footer="374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cs="Trebuchet MS"/>
        <w:sz w:val="20"/>
        <w:szCs w:val="20"/>
      </w:rPr>
    </w:pPr>
    <w:r>
      <w:rPr>
        <w:rFonts w:cs="Trebuchet MS"/>
        <w:sz w:val="20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3" wp14:anchorId="0A4514BD">
              <wp:simplePos x="0" y="0"/>
              <wp:positionH relativeFrom="margin">
                <wp:posOffset>123825</wp:posOffset>
              </wp:positionH>
              <wp:positionV relativeFrom="paragraph">
                <wp:posOffset>100965</wp:posOffset>
              </wp:positionV>
              <wp:extent cx="6506210" cy="1270"/>
              <wp:effectExtent l="0" t="19050" r="28575" b="19050"/>
              <wp:wrapNone/>
              <wp:docPr id="3" name="Conector re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5560" cy="0"/>
                      </a:xfrm>
                      <a:prstGeom prst="line">
                        <a:avLst/>
                      </a:prstGeom>
                      <a:ln w="28440">
                        <a:solidFill>
                          <a:srgbClr val="364b93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hape_0" from="9.75pt,7.95pt" to="521.95pt,7.95pt" ID="Conector reto 4" stroked="t" style="position:absolute;mso-position-horizontal-relative:margin" wp14:anchorId="0A4514BD">
              <v:stroke color="#364b93" weight="28440" joinstyle="miter" endcap="flat"/>
              <v:fill on="false" o:detectmouseclick="t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5" wp14:anchorId="0A4514BD">
              <wp:simplePos x="0" y="0"/>
              <wp:positionH relativeFrom="column">
                <wp:posOffset>609600</wp:posOffset>
              </wp:positionH>
              <wp:positionV relativeFrom="paragraph">
                <wp:posOffset>18415</wp:posOffset>
              </wp:positionV>
              <wp:extent cx="5400040" cy="1270"/>
              <wp:effectExtent l="0" t="19050" r="29845" b="19050"/>
              <wp:wrapNone/>
              <wp:docPr id="4" name="Conector re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9280" cy="0"/>
                      </a:xfrm>
                      <a:prstGeom prst="line">
                        <a:avLst/>
                      </a:prstGeom>
                      <a:ln w="28440">
                        <a:solidFill>
                          <a:srgbClr val="364b93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hape_0" from="48pt,1.45pt" to="473.1pt,1.45pt" ID="Conector reto 4" stroked="t" style="position:absolute" wp14:anchorId="0A4514BD">
              <v:stroke color="#364b93" weight="28440" joinstyle="miter" endcap="flat"/>
              <v:fill on="false" o:detectmouseclick="t"/>
            </v:line>
          </w:pict>
        </mc:Fallback>
      </mc:AlternateContent>
    </w:r>
  </w:p>
  <w:p>
    <w:pPr>
      <w:pStyle w:val="Normal"/>
      <w:spacing w:lineRule="auto" w:line="240" w:before="0" w:after="0"/>
      <w:jc w:val="center"/>
      <w:rPr>
        <w:rFonts w:cs="Trebuchet MS"/>
        <w:sz w:val="19"/>
        <w:szCs w:val="19"/>
      </w:rPr>
    </w:pPr>
    <w:r>
      <w:rPr>
        <w:rFonts w:cs="Trebuchet MS"/>
        <w:sz w:val="19"/>
        <w:szCs w:val="19"/>
      </w:rPr>
      <w:t xml:space="preserve">Rua Barra Funda, 933, sala 04 – São Paulo – SP – CEP: 01152-000 </w:t>
    </w:r>
  </w:p>
  <w:p>
    <w:pPr>
      <w:pStyle w:val="Normal"/>
      <w:spacing w:lineRule="auto" w:line="240" w:before="0" w:after="0"/>
      <w:jc w:val="center"/>
      <w:rPr/>
    </w:pPr>
    <w:r>
      <w:rPr>
        <w:rFonts w:cs="Trebuchet MS"/>
        <w:b/>
        <w:sz w:val="19"/>
        <w:szCs w:val="19"/>
      </w:rPr>
      <w:t>E-mail:</w:t>
    </w:r>
    <w:r>
      <w:rPr>
        <w:rFonts w:cs="Trebuchet MS"/>
        <w:sz w:val="19"/>
        <w:szCs w:val="19"/>
      </w:rPr>
      <w:t xml:space="preserve">  </w:t>
    </w:r>
    <w:hyperlink r:id="rId1">
      <w:r>
        <w:rPr>
          <w:rStyle w:val="LinkdaInternet"/>
          <w:rFonts w:cs="Trebuchet MS"/>
          <w:sz w:val="19"/>
          <w:szCs w:val="19"/>
        </w:rPr>
        <w:t>afprocon@afprocon.com.br</w:t>
      </w:r>
    </w:hyperlink>
    <w:r>
      <w:rPr>
        <w:sz w:val="19"/>
        <w:szCs w:val="19"/>
      </w:rPr>
      <w:t xml:space="preserve"> - </w:t>
    </w:r>
    <w:r>
      <w:rPr>
        <w:b/>
        <w:sz w:val="19"/>
        <w:szCs w:val="19"/>
      </w:rPr>
      <w:t>Site:</w:t>
    </w:r>
    <w:r>
      <w:rPr>
        <w:sz w:val="19"/>
        <w:szCs w:val="19"/>
      </w:rPr>
      <w:t xml:space="preserve"> </w:t>
    </w:r>
    <w:hyperlink r:id="rId2">
      <w:r>
        <w:rPr>
          <w:rStyle w:val="LinkdaInternet"/>
          <w:sz w:val="19"/>
          <w:szCs w:val="19"/>
        </w:rPr>
        <w:t>www.afprocon.org.br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11207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noVBand="1" w:val="04a0" w:noHBand="0" w:lastColumn="0" w:firstColumn="1" w:lastRow="0" w:firstRow="1"/>
    </w:tblPr>
    <w:tblGrid>
      <w:gridCol w:w="11207"/>
    </w:tblGrid>
    <w:tr>
      <w:trPr>
        <w:trHeight w:val="1070" w:hRule="atLeast"/>
      </w:trPr>
      <w:tc>
        <w:tcPr>
          <w:tcW w:w="11207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cs="Trebuchet MS"/>
              <w:sz w:val="24"/>
              <w:szCs w:val="24"/>
            </w:rPr>
          </w:pPr>
          <w:r>
            <w:rPr/>
            <w:drawing>
              <wp:inline distT="0" distB="0" distL="0" distR="0">
                <wp:extent cx="2094230" cy="590550"/>
                <wp:effectExtent l="0" t="0" r="0" b="0"/>
                <wp:docPr id="1" name="Imagem 1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23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923" w:hRule="atLeast"/>
      </w:trPr>
      <w:tc>
        <w:tcPr>
          <w:tcW w:w="11207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cs="Trebuchet MS"/>
              <w:b/>
              <w:b/>
              <w:bCs/>
              <w:color w:val="000000"/>
              <w:sz w:val="19"/>
              <w:szCs w:val="19"/>
            </w:rPr>
          </w:pPr>
          <w:r>
            <w:rPr>
              <w:rFonts w:cs="Trebuchet MS"/>
              <w:b/>
              <w:bCs/>
              <w:color w:val="000000"/>
              <w:sz w:val="19"/>
              <w:szCs w:val="19"/>
            </w:rPr>
            <w:t>Associação dos Funcionários da Fundação Procon SP</w:t>
          </w:r>
        </w:p>
        <w:p>
          <w:pPr>
            <w:pStyle w:val="Normal"/>
            <w:spacing w:lineRule="auto" w:line="240" w:before="0" w:after="0"/>
            <w:jc w:val="center"/>
            <w:rPr>
              <w:rFonts w:cs="Trebuchet MS"/>
              <w:b/>
              <w:b/>
              <w:bCs/>
              <w:color w:val="000000"/>
              <w:sz w:val="20"/>
              <w:szCs w:val="20"/>
            </w:rPr>
          </w:pPr>
          <w:r>
            <mc:AlternateContent>
              <mc:Choice Requires="wps">
                <w:drawing>
                  <wp:anchor behindDoc="1" distT="0" distB="0" distL="114300" distR="114300" simplePos="0" locked="0" layoutInCell="1" allowOverlap="1" relativeHeight="7" wp14:anchorId="737DCC75">
                    <wp:simplePos x="0" y="0"/>
                    <wp:positionH relativeFrom="margin">
                      <wp:posOffset>331470</wp:posOffset>
                    </wp:positionH>
                    <wp:positionV relativeFrom="paragraph">
                      <wp:posOffset>205740</wp:posOffset>
                    </wp:positionV>
                    <wp:extent cx="6220460" cy="1270"/>
                    <wp:effectExtent l="0" t="19050" r="28575" b="19050"/>
                    <wp:wrapNone/>
                    <wp:docPr id="2" name="Conector reto 4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19720" cy="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364b93"/>
                              </a:solidFill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26.1pt,16.2pt" to="515.8pt,16.2pt" ID="Conector reto 4" stroked="t" style="position:absolute;mso-position-horizontal-relative:margin" wp14:anchorId="737DCC75">
                    <v:stroke color="#364b93" weight="28440" joinstyle="miter" endcap="flat"/>
                    <v:fill on="false" o:detectmouseclick="t"/>
                  </v:line>
                </w:pict>
              </mc:Fallback>
            </mc:AlternateContent>
          </w:r>
          <w:r>
            <w:rPr>
              <w:rFonts w:cs="Trebuchet MS"/>
              <w:color w:val="000000"/>
              <w:sz w:val="19"/>
              <w:szCs w:val="19"/>
            </w:rPr>
            <w:t>CNPJ 03.124.926/0001-87</w:t>
          </w:r>
        </w:p>
      </w:tc>
    </w:tr>
  </w:tbl>
  <w:p>
    <w:pPr>
      <w:pStyle w:val="Normal"/>
      <w:spacing w:before="0" w:after="200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0e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sz w:val="22"/>
      <w:szCs w:val="22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ea1a10"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e1d8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e1d89"/>
    <w:rPr/>
  </w:style>
  <w:style w:type="character" w:styleId="WW8Num2z0" w:customStyle="1">
    <w:name w:val="WW8Num2z0"/>
    <w:qFormat/>
    <w:rsid w:val="00de1d89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b48ac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Times New Roman" w:cs="Arial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b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Corpo do texto"/>
    <w:basedOn w:val="Normal"/>
    <w:rsid w:val="001e13d8"/>
    <w:pPr>
      <w:spacing w:lineRule="auto" w:line="288" w:before="0" w:after="140"/>
    </w:pPr>
    <w:rPr>
      <w:rFonts w:eastAsia="SimSun"/>
    </w:rPr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252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Cabeçalho"/>
    <w:basedOn w:val="Normal"/>
    <w:link w:val="CabealhoChar"/>
    <w:uiPriority w:val="99"/>
    <w:unhideWhenUsed/>
    <w:rsid w:val="00de1d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de1d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b48a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0c4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312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fprocon@afprocon.com.br" TargetMode="External"/><Relationship Id="rId2" Type="http://schemas.openxmlformats.org/officeDocument/2006/relationships/hyperlink" Target="http://www.afprocon.org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54DC-7434-401A-9736-ED7401E0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Application>LibreOffice/4.4.1.2$Windows_x86 LibreOffice_project/45e2de17089c24a1fa810c8f975a7171ba4cd432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2019-04-01T13:53:00Z</dcterms:created>
  <dc:creator>Jose Roberto Gomes Dias</dc:creator>
  <dc:language>pt-BR</dc:language>
  <cp:lastPrinted>2017-02-16T19:14:00Z</cp:lastPrinted>
  <dcterms:modified xsi:type="dcterms:W3CDTF">2019-04-03T09:46:58Z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